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HebG 2020 — Vertrag zur akademischen Hebammenausbildung; Schriftformerfordernis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Zwischen dem Inhaber oder Träger der verantwortlichen Praxiseinrichtung und der studierenden Person ist ein Vertrag zur akademischen Hebammenausbildung nach den Vorschriften dieses Abschnitts zu schließen.</w:t>
      </w:r>
    </w:p>
    <w:p>
      <w:r>
        <w:t xml:space="preserve">(2) Der Abschluss und jedes Rechtsgeschäft zur Änderung des Vertrages zur akademischen Hebammenausbildung bedürfen der Schriftform. Die schriftliche Form kann nicht durch die elektronische Form ersetzt werden.</w:t>
      </w:r>
    </w:p>
    <w:p>
      <w:r>
        <w:rPr>
          <w:color w:val="555555"/>
          <w:sz w:val="17"/>
        </w:rPr>
        <w:t xml:space="preserve">Zitiervorschlag: § 27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