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HebG 2020 — Durchführung des Studiums; Kooperationsvereinbarungen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berufspraktischen Einsätze und die theoretischen und praktischen Lehrveranstaltungen erfolgen inhaltlich und zeitlich eng miteinander verzahnt und aufeinander abgestimmt.</w:t>
      </w:r>
    </w:p>
    <w:p>
      <w:r>
        <w:t xml:space="preserve">(2) Die Hochschule schließt Kooperationsvereinbarungen mit den verantwortlichen Praxiseinrichtungen, um die Durchführung des Studiums sicherzustellen.</w:t>
      </w:r>
    </w:p>
    <w:p>
      <w:r>
        <w:rPr>
          <w:color w:val="555555"/>
          <w:sz w:val="17"/>
        </w:rPr>
        <w:t xml:space="preserve">Zitiervorschlag: § 21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