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HebG 2020 — Nachweis- und Begründungspflicht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ambulanten hebammengeleiteten Einrichtungen und freiberuflichen Hebammen nach § 13 Absatz 1 Satz 1 Nummer 2 legen der jeweiligen verantwortlichen Praxiseinrichtung rechtzeitig vor den Verhandlungen nach § 17a Absatz 3 des Krankenhausfinanzierungsgesetzes Nachweise und Begründungen für im Vereinbarungszeitraum geplante erstmalige Weiterqualifizierungen zur praxisanleitenden Person vor.</w:t>
      </w:r>
    </w:p>
    <w:p>
      <w:r>
        <w:t xml:space="preserve">(2) Das Nähere, insbesondere zum Zeitpunkt der Vorlage nach Absatz 1, wird in den Vereinbarungen nach § 16 Absatz 2 Satz 2 festgelegt.</w:t>
      </w:r>
    </w:p>
    <w:p>
      <w:r>
        <w:rPr>
          <w:color w:val="555555"/>
          <w:sz w:val="17"/>
        </w:rPr>
        <w:t xml:space="preserve">Zitiervorschlag: § 18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