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HebG 2020 — Akkreditierung von Studiengängen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Das einem Studiengang zugrunde liegende Konzept wird durch die zuständige Landesbehörde in einem Akkreditierungsverfahren überprüft.</w:t>
      </w:r>
    </w:p>
    <w:p>
      <w:r>
        <w:t xml:space="preserve">(2) Die zuständige Landesbehörde überprüft, ob die berufsrechtlichen Vorgaben eingehalten werden, insbesondere, ob der Studiengang so konzipiert ist, dass das Studienziel erreicht werden kann.</w:t>
      </w:r>
    </w:p>
    <w:p>
      <w:r>
        <w:t xml:space="preserve">(3) Wesentliche Änderungen des Konzeptes nach Abschluss des Akkreditierungsverfahrens werden durch die zuständige Landesbehörde überprüft.</w:t>
      </w:r>
    </w:p>
    <w:p>
      <w:r>
        <w:rPr>
          <w:color w:val="555555"/>
          <w:sz w:val="17"/>
        </w:rPr>
        <w:t xml:space="preserve">Zitiervorschlag: § 12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