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Eine Anerkennung als Wochenpflegerin nach § 1 Abs. 2 der Verordnung über Wochenpflegerinnen in der im Bundesgesetzblatt Teil III, Gliederungsnummer 2124-4, veröffentlichten bereinigten Fassung, zuletzt geändert durch Artikel 3 der Verordnung vom 18. April 1975 (BGBl. I S. 967), und eine durch § 8 dieser Verordnung gleichgestellte Anerkennung gelten weiter.</w:t>
      </w:r>
    </w:p>
    <w:p>
      <w:r>
        <w:t xml:space="preserve">(2) Eine vor Inkrafttreten dieses Gesetzes begonnene Ausbildung als Wochenpflegerin wird nach den bisher geltenden Vorschriften abgeschlossen. Nach Abschluß der Ausbildung erhält die Antragstellerin eine Anerkennung nach diesen Vorschriften.</w:t>
      </w:r>
    </w:p>
    <w:p>
      <w:r>
        <w:rPr>
          <w:color w:val="555555"/>
          <w:sz w:val="17"/>
        </w:rPr>
        <w:t xml:space="preserve">Zitiervorschlag: § 30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