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Eine im Zeitpunkt des Inkrafttretens dieses Gesetzes wirksame Niederlassungserlaubnis nach § 10 des Hebammengesetzes in der in § 33 Satz 2 Nr. 1 bezeichneten Fassung gilt weiter. Sie erlischt mit Ablauf des Tages, an dem die Inhaberin der Erlaubnis das 70. Lebensjahr vollendet.</w:t>
      </w:r>
    </w:p>
    <w:p>
      <w:r>
        <w:t xml:space="preserve">(2) Eine Niederlassungserlaubnis ist zu widerrufen, wenn die Hebamme ihren Beruf auf Grund eines Arbeitsvertrages in Krankenhäusern ausübt; sie kann widerrufen werden, wenn die Hebamme in den letzten drei Jahren weniger als zehn Geburtshilfen geleistet hat und die Geburtshilfe in dem zugewiesenen Bezirk anderweitig ausreichend sichergestellt ist.</w:t>
      </w:r>
    </w:p>
    <w:p>
      <w:r>
        <w:t xml:space="preserve">(3) Die Niederlassungserlaubnis darf nicht vor Ablauf von drei Jahren nach Inkrafttreten dieses Gesetzes widerrufen werden.</w:t>
      </w:r>
    </w:p>
    <w:p>
      <w:r>
        <w:rPr>
          <w:color w:val="555555"/>
          <w:sz w:val="17"/>
        </w:rPr>
        <w:t xml:space="preserve">Zitiervorschlag: § 29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