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Ordnungswidrig handelt, wer</w:t>
      </w:r>
    </w:p>
    <w:p>
      <w:pPr>
        <w:ind w:left="420"/>
      </w:pPr>
      <w:r>
        <w:t xml:space="preserve">1. ohne Erlaubnis nach § 1 Abs. 1 die Berufsbezeichnung "Hebamme" oder "Entbindungspfleger" führt,</w:t>
      </w:r>
    </w:p>
    <w:p>
      <w:pPr>
        <w:ind w:left="420"/>
      </w:pPr>
      <w:r>
        <w:t xml:space="preserve">2. entgegen § 4 Abs. 1 Satz 1 Geburtshilfe leistet.</w:t>
      </w:r>
    </w:p>
    <w:p>
      <w:r>
        <w:t xml:space="preserve">Die Ordnungswidrigkeit kann mit einer Geldbuße bis zu zweitausendfünfhundert Euro geahndet werden.</w:t>
      </w:r>
    </w:p>
    <w:p>
      <w:r>
        <w:rPr>
          <w:color w:val="555555"/>
          <w:sz w:val="17"/>
        </w:rPr>
        <w:t xml:space="preserve">Zitiervorschlag: § 25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