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HebG 1985</w:t>
      </w:r>
    </w:p>
    <w:p>
      <w:r>
        <w:rPr>
          <w:color w:val="555555"/>
          <w:sz w:val="18"/>
        </w:rPr>
        <w:t xml:space="preserve">Hebammengesetz</w:t>
      </w:r>
    </w:p>
    <w:p>
      <w:r>
        <w:rPr>
          <w:color w:val="555555"/>
          <w:sz w:val="18"/>
        </w:rPr>
        <w:t xml:space="preserve">Historische Fassung: Stand 10.06.2019 bis 02.01.2020. Dies ist nicht die aktuelle Fassung.</w:t>
      </w:r>
    </w:p>
    <w:p>
      <w:r>
        <w:t xml:space="preserve">(1) Der Träger der Ausbildung hat der Schülerin und dem Schüler eine Ausbildungsvergütung zu gewähren.</w:t>
      </w:r>
    </w:p>
    <w:p>
      <w:r>
        <w:t xml:space="preserve">(2) Sachbezüge können in der Höhe der durch Rechtsverordnung nach § 17 Satz 1 Nr. 3 Viertes Buch Sozialgesetzbuch bestimmten Werte angerechnet werden, jedoch nicht über fünfundsiebzig vom Hundert der Bruttovergütung hinaus. Können die Schülerin und der Schüler während der Zeit, für welche die Ausbildungsvergütung fortzuzahlen ist, aus berechtigtem Grund Sachbezüge nicht abnehmen, so sind diese nach den Sachbezugswerten abzugelten.</w:t>
      </w:r>
    </w:p>
    <w:p>
      <w:r>
        <w:t xml:space="preserve">(3) Eine über die vereinbarte regelmäßige tägliche oder wöchentliche Ausbildungszeit hinausgehende Beschäftigung ist nur ausnahmsweise zulässig und besonders zu vergüten.</w:t>
      </w:r>
    </w:p>
    <w:p>
      <w:r>
        <w:rPr>
          <w:color w:val="555555"/>
          <w:sz w:val="17"/>
        </w:rPr>
        <w:t xml:space="preserve">Zitiervorschlag: § 15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