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HebAPrO — Mündlicher Teil der Prüfung</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Der mündliche Teil der Prüfung erstreckt sich auf folgende Fächer:</w:t>
      </w:r>
    </w:p>
    <w:p>
      <w:pPr>
        <w:ind w:left="420"/>
      </w:pPr>
      <w:r>
        <w:t xml:space="preserve">1. Geburtshilfe einschließlich der in der Anlage 1 im 2. und 3. Ausbildungsjahr unter den Nummern 2 bis 7 aufgeführten Stoffgebiete,</w:t>
      </w:r>
    </w:p>
    <w:p>
      <w:pPr>
        <w:ind w:left="420"/>
      </w:pPr>
      <w:r>
        <w:t xml:space="preserve">2. Kinderheilkunde,</w:t>
      </w:r>
    </w:p>
    <w:p>
      <w:pPr>
        <w:ind w:left="420"/>
      </w:pPr>
      <w:r>
        <w:t xml:space="preserve">3. Krankenpflege,</w:t>
      </w:r>
    </w:p>
    <w:p>
      <w:pPr>
        <w:ind w:left="420"/>
      </w:pPr>
      <w:r>
        <w:t xml:space="preserve">4. Gesundheitslehre und Hygiene.</w:t>
      </w:r>
    </w:p>
    <w:p>
      <w:r>
        <w:t xml:space="preserve">Die Prüflinge werden einzeln oder in Gruppen bis zu fünf geprüft. In einem Fach soll der Prüfling nicht länger als 20 Minuten geprüft werden. Der Prüfling soll seine Fähigkeiten am geburtshilflichen Phantom darstellen.</w:t>
      </w:r>
    </w:p>
    <w:p>
      <w:r>
        <w:t xml:space="preserve">(2) Der mündliche Teil der Prüfung wird von mindestens drei Fachprüfern abgenommen und nach § 9 benotet. Aus den Noten der Fachprüfer bildet der Vorsitzende des Prüfungsausschusses im Einvernehmen mit den Fachprüfern die Prüfungsnote für den mündlichen Teil der Prüfung. Dabei sind das in Absatz 1 Nr. 1 genannte Fach mit dem Faktor 2 und die übrigen Fächer einfach zu gewichten.</w:t>
      </w:r>
    </w:p>
    <w:p>
      <w:r>
        <w:t xml:space="preserve">(3) Der Vorsitzende des Prüfungsausschusses kann auf Antrag die Anwesenheit von Zuhörern beim mündlichen Teil der Prüfung gestatten.</w:t>
      </w:r>
    </w:p>
    <w:p>
      <w:r>
        <w:rPr>
          <w:color w:val="555555"/>
          <w:sz w:val="17"/>
        </w:rPr>
        <w:t xml:space="preserve">Zitiervorschlag: § 6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