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HebAPrO — Fristen, Bescheide, Durchführungsbestimmungen</w:t>
      </w:r>
    </w:p>
    <w:p>
      <w:r>
        <w:rPr>
          <w:color w:val="555555"/>
          <w:sz w:val="18"/>
        </w:rPr>
        <w:t xml:space="preserve">Ausbildungs- und Prüfungsverordnung für Hebammen und Entbindungspfleger</w:t>
      </w:r>
    </w:p>
    <w:p>
      <w:r>
        <w:rPr>
          <w:color w:val="555555"/>
          <w:sz w:val="18"/>
        </w:rPr>
        <w:t xml:space="preserve">Historische Fassung: Stand 05.03.2020 bis 09.05.2020. Dies ist nicht die aktuelle Fassung.</w:t>
      </w:r>
    </w:p>
    <w:p>
      <w:r>
        <w:t xml:space="preserve">(1) Die zuständige Behörde hat über Anträge auf Erteilung einer Erlaubnis als Hebamme oder Entbindungspfleger nach § 1 Absatz 1 des Hebammengesetzes in Verbindung mit § 2 Absatz 2, 2a oder Absatz 5 des Hebammengesetzes kurzfristig, spätestens vier Monate, im Falle von Anträgen nach § 2 Absatz 3 des Hebammengesetzes spätestens drei Monate, nach Vorlage der für Entscheidungen nach § 2 des Hebammengesetzes erforderlichen Unterlagen zu entscheiden. Im Falle des § 81a des Aufenthaltsgesetzes soll die Entscheidung innerhalb von zwei Monaten erfolgen.</w:t>
      </w:r>
    </w:p>
    <w:p>
      <w:r>
        <w:t xml:space="preserve">(2) Über die Feststellung wesentlicher Unterschiede, die zur Auferlegung einer Kenntnisprüfung, eines Anpassungslehrgangs oder einer Eignungsprüfung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in der jeweils geltenden Fassung,</w:t>
      </w:r>
    </w:p>
    <w:p>
      <w:pPr>
        <w:ind w:left="420"/>
      </w:pPr>
      <w:r>
        <w:t xml:space="preserve">2. die Themenbereiche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der Hebamme oder des Entbindungspflegers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2 Satz 3 des Hebammengesetzes erworben haben.</w:t>
      </w:r>
    </w:p>
    <w:p>
      <w:r>
        <w:t xml:space="preserve">(3) Die Eignungsprüfung nach § 16a Absatz 3 und die Kenntnisprüfung nach § 16b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den §§ 16a und 16b nichts anderes bestimmt ist, gelten die §§ 8, 11 bis 14 für die Durchführung der Prüfungen nach Satz 1 entsprechend.</w:t>
      </w:r>
    </w:p>
    <w:p>
      <w:r>
        <w:rPr>
          <w:color w:val="555555"/>
          <w:sz w:val="17"/>
        </w:rPr>
        <w:t xml:space="preserve">Zitiervorschlag: § 16c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