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HebAPrO — Sonderregelungen für Inhaber von Ausbildungsnachweisen aus einem anderen Vertragsstaat des Europäischen Wirtschaftsraumes</w:t>
      </w:r>
    </w:p>
    <w:p>
      <w:r>
        <w:rPr>
          <w:color w:val="555555"/>
          <w:sz w:val="18"/>
        </w:rPr>
        <w:t xml:space="preserve">Ausbildungs- und Prüfungsverordnung für Hebammen und Entbindungspfleger</w:t>
      </w:r>
    </w:p>
    <w:p>
      <w:r>
        <w:rPr>
          <w:color w:val="555555"/>
          <w:sz w:val="18"/>
        </w:rPr>
        <w:t xml:space="preserve">Historische Fassung: Stand 10.06.2019 bis 09.05.2020. Dies ist nicht die aktuelle Fassung.</w:t>
      </w:r>
    </w:p>
    <w:p>
      <w:r>
        <w:t xml:space="preserve">(1) Antragsteller, die eine Erlaubnis nach § 1 Abs. 1 des Gesetzes beantragen und die Staatsangehörige eines anderen Mitgliedstaates der Europäischen Wirtschaftsgemeinschaft oder eines anderen Vertragsstaates des Abkommens über den Europäischen Wirtschaftsraum sind, können zum Nachweis, daß die Voraussetzungen nach § 2 Abs. 1 Nr. 2 des Gesetzes vorliegen, eine von der zuständigen Behörde des Herkunftsmitgliedstaats ausgestellte entsprechende Bescheinigung oder einen von einer solchen Behörde ausgestellten Strafregisterauszug oder, wenn ein solcher nicht beigebracht werden kann, einen gleichwertigen Nachweis vorlegen. Hat die für die Erteilung der Erlaubnis nach § 1 Absatz 1 des Hebammengesetzes zuständige Behörde berechtigte Zweifel, kann sie von der zuständigen Behörde eines Mitgliedstaates eine Bestätigung verlangen, aus der sich ergibt, dass dem Antragsteller die Ausübung des Berufs, der dem der Hebamme oder des Entbindungspflegers entspricht, nicht auf Grund eines schwerwiegenden standeswidrigen Verhaltens oder einer Verurteilung wegen strafbarer Handlungen dauerhaft oder vorübergehend untersagt worden ist. Hat die für die Erteilung der Erlaubnis zuständige Behörde in den Fällen des Satzes 1 oder 2 von Tatbeständen Kenntnis, die außerhalb des Geltungsbereichs des Gesetzes eingetreten sind und im Hinblick auf die Voraussetzungen des § 2 Abs. 1 Nr. 2 des Gesetzes von Bedeutung sein können, so hat sie die zuständige Stelle des Herkunftsmitgliedstaats zu unterrichten und sie zu bitten, diese Tatbestände zu überprüfen und ihr das Ergebnis und die Folgerungen, die sie hinsichtlich der von ihr ausgestellten Bescheinigungen und Nachweise daraus zieht, mitzuteilen. Die in Satz 1 bis 3 genannten Bescheinigungen und Mitteilungen sind vertraulich zu behandeln. Sie dürfen der Beurteilung nur zugrunde gelegt werden, wenn bei der Vorlage die Ausstellung nicht mehr als drei Monate zurückliegt.</w:t>
      </w:r>
    </w:p>
    <w:p>
      <w:r>
        <w:t xml:space="preserve">(2) Antragsteller, die eine Erlaubnis nach § 1 Abs. 1 des Hebammengesetzes beantragen, können zum Nachweis, dass die Voraussetzungen nach § 2 Abs. 1 Nr. 3 dieses Gesetzes vorliegen, einen entsprechenden Nachweis ihres Herkunftsmitgliedstaats vorlegen. Wird im Herkunftsmitgliedstaat ein solcher Nachweis nicht verlangt, ist eine von einer zuständigen Behörde dieses Staates ausgestellte Bescheinigung anzuerkennen, aus der sich ergibt, dass die Voraussetzungen des § 2 Abs. 1 Nr. 3 des Hebammengesetzes erfüllt sind. Absatz 1 Satz 4 und 5 gilt entsprechend.</w:t>
      </w:r>
    </w:p>
    <w:p>
      <w:r>
        <w:t xml:space="preserve">(3) Antragsteller, die über einen Ausbildungsnachweis im Beruf der Hebamme verfügen, der in einem anderen Vertragsstaat des Europäischen Wirtschaftsraumes erworben worden ist, führen nach der Anerkennung ihrer Berufsqualifikation die Berufsbezeichnung „Hebamme“ oder „Entbindungspfleger“.</w:t>
      </w:r>
    </w:p>
    <w:p>
      <w:r>
        <w:t xml:space="preserve">(4) Werden von der zuständigen Stelle des Herkunftsmitgliedstaats die in Absatz 1 Satz 1 genannten Bescheinigungen nicht ausgestellt oder die nach Absatz 1 Satz 2 oder Satz 3 nachgefragten Mitteilungen innerhalb von zwei Monaten nicht gemacht, kann der Antragsteller sie durch Vorlage einer Bescheinigung über die Abgabe einer eidesstattlichen Erklärung gegenüber der zuständigen Behörde des Herkunftsmitgliedstaats ersetzen.</w:t>
      </w:r>
    </w:p>
    <w:p>
      <w:r>
        <w:t xml:space="preserve">(5) (weggefallen)</w:t>
      </w:r>
    </w:p>
    <w:p>
      <w:r>
        <w:t xml:space="preserve">(6) Die Absätze 1 bis 4 gelten entsprechend für Drittstaatsdiplome, für deren Anerkennung sich nach dem Recht der Europäischen Union eine Gleichstellung ergibt.</w:t>
      </w:r>
    </w:p>
    <w:p>
      <w:r>
        <w:rPr>
          <w:color w:val="555555"/>
          <w:sz w:val="17"/>
        </w:rPr>
        <w:t xml:space="preserve">Zitiervorschlag: § 16 HebAPrO</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https://recht.nulegal.eu/gesetze/HebAPrO/16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