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HdlStatG 2001 — Hilfsmerkmale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Hilfsmerkmale sind:</w:t>
      </w:r>
    </w:p>
    <w:p>
      <w:pPr>
        <w:ind w:left="420"/>
      </w:pPr>
      <w:r>
        <w:t xml:space="preserve">1. Name und Anschrift des Unternehmens,</w:t>
      </w:r>
    </w:p>
    <w:p>
      <w:pPr>
        <w:ind w:left="420"/>
      </w:pPr>
      <w:r>
        <w:t xml:space="preserve">2. Name, Rufnummern und Adressen für elektronische Post der Personen, die für Rückfragen zur Verfügung stehen,</w:t>
      </w:r>
    </w:p>
    <w:p>
      <w:pPr>
        <w:ind w:left="420"/>
      </w:pPr>
      <w:r>
        <w:t xml:space="preserve">3. für die Erhebungen in den Abteilungen 45 und 46 zusätzlich Steuernummer und Umsatzsteuer-Identifikationsnummer des Unternehmens und des Organträgers, bei Änderungen auch die bisherige Steuernummer und/oder Umsatzsteuer-Identifikationsnummer.</w:t>
      </w:r>
    </w:p>
    <w:p>
      <w:r>
        <w:rPr>
          <w:color w:val="555555"/>
          <w:sz w:val="17"/>
        </w:rPr>
        <w:t xml:space="preserve">Zitiervorschlag: § 7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