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HdlStatG 2001 — Periodizität, Berichtszeitraum</w:t>
      </w:r>
    </w:p>
    <w:p>
      <w:r>
        <w:rPr>
          <w:color w:val="555555"/>
          <w:sz w:val="18"/>
        </w:rPr>
        <w:t xml:space="preserve">Handelsstatistikgesetz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(1) In den in § 2 genannten Bereichen werden durchgeführt:</w:t>
      </w:r>
    </w:p>
    <w:p>
      <w:pPr>
        <w:ind w:left="420"/>
      </w:pPr>
      <w:r>
        <w:t xml:space="preserve">1. monatliche Erhebungen,</w:t>
      </w:r>
    </w:p>
    <w:p>
      <w:pPr>
        <w:ind w:left="420"/>
      </w:pPr>
      <w:r>
        <w:t xml:space="preserve">2. jährliche Erhebungen,</w:t>
      </w:r>
    </w:p>
    <w:p>
      <w:pPr>
        <w:ind w:left="420"/>
      </w:pPr>
      <w:r>
        <w:t xml:space="preserve">3. fünfjährliche Erhebungen in den Abteilungen 45 und 47, die mit der jeweils anstehenden jährlichen Erhebung verbunden werden.</w:t>
      </w:r>
    </w:p>
    <w:p>
      <w:r>
        <w:t xml:space="preserve">(2) Berichtszeitraum für die Erhebungen nach Absatz 1 Nr. 1 ist der Kalendermonat, für die Erhebungen nach Absatz 1 Nr. 2 und 3 das Kalenderjahr oder das im Kalenderjahr abgelaufene Geschäftsjahr.</w:t>
      </w:r>
    </w:p>
    <w:p>
      <w:r>
        <w:t xml:space="preserve">(3) Erster Berichtsmonat für die Erhebungen nach Absatz 1 Nr. 1 ist der Januar des Jahres, das dem Jahr des Inkrafttretens folgt. Erstes Berichtsjahr für die Erhebungen nach Absatz 1 Nr. 2 ist das Jahr, in dem das Gesetz in Kraft tritt. Die fünfjährlichen Erhebungen nach Absatz 1 Nr. 3 werden erstmals für das Jahr 2002 durchgeführt.</w:t>
      </w:r>
    </w:p>
    <w:p>
      <w:r>
        <w:rPr>
          <w:color w:val="555555"/>
          <w:sz w:val="17"/>
        </w:rPr>
        <w:t xml:space="preserve">Zitiervorschlag: § 3 HdlStatG 2001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https://recht.nulegal.eu/gesetze/HdlStatG%202001/3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