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HdlStatG 2001 — Erhebungsbereiche</w:t>
      </w:r>
    </w:p>
    <w:p>
      <w:r>
        <w:rPr>
          <w:color w:val="555555"/>
          <w:sz w:val="18"/>
        </w:rPr>
        <w:t xml:space="preserve">Handelsstatistikgesetz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Die Erhebungen erstrecken sich auf die nachfolgend genannten Wirtschaftszweige nach Anhang I der Verordnung (EG) Nr. 1893/2006 des Europäischen Parlaments und des Rates vom 20. Dezember 2006 zur Aufstellung der statistischen Systematik der Wirtschaftszweige NACE Revision 2 und zur Änderung der Verordnung (EWG) Nr. 3037/90 des Rates sowie einiger Verordnungen der EG über bestimmte Bereiche der Statistik (ABl. EU Nr. L 393 S. 1) in der jeweils geltenden Fassung:</w:t>
      </w:r>
    </w:p>
    <w:p>
      <w:pPr>
        <w:ind w:left="420"/>
      </w:pPr>
      <w:r>
        <w:t xml:space="preserve">1. Abschnitt G − Handel; Instandhaltung und Reparatur von Kraftfahrzeugen</w:t>
      </w:r>
    </w:p>
    <w:p>
      <w:pPr>
        <w:ind w:left="780"/>
      </w:pPr>
      <w:r>
        <w:t xml:space="preserve">a) Abteilung 45 − Handel mit Kraftfahrzeugen; Instandhaltung und Reparatur von Kraftfahrzeugen</w:t>
      </w:r>
    </w:p>
    <w:p>
      <w:pPr>
        <w:ind w:left="780"/>
      </w:pPr>
      <w:r>
        <w:t xml:space="preserve">b) Abteilung 46 − Großhandel</w:t>
      </w:r>
    </w:p>
    <w:p>
      <w:pPr>
        <w:ind w:left="780"/>
      </w:pPr>
      <w:r>
        <w:t xml:space="preserve">c) Abteilung 47 − Einzelhandel</w:t>
      </w:r>
    </w:p>
    <w:p>
      <w:pPr>
        <w:ind w:left="420"/>
      </w:pPr>
      <w:r>
        <w:t xml:space="preserve">2. Abschnitt I − Gastgewerbe, Beherbergung und Gastronomie.</w:t>
      </w:r>
    </w:p>
    <w:p>
      <w:r>
        <w:rPr>
          <w:color w:val="555555"/>
          <w:sz w:val="17"/>
        </w:rPr>
        <w:t xml:space="preserve">Zitiervorschlag: § 2 HdlStatG 2001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https://recht.nulegal.eu/gesetze/HdlStatG%202001/2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