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HdlStatG 2001 — Durchführung</w:t>
      </w:r>
    </w:p>
    <w:p>
      <w:r>
        <w:rPr>
          <w:color w:val="555555"/>
          <w:sz w:val="18"/>
        </w:rPr>
        <w:t xml:space="preserve">Handelsstatistikgesetz</w:t>
      </w:r>
    </w:p>
    <w:p>
      <w:r>
        <w:rPr>
          <w:color w:val="555555"/>
          <w:sz w:val="18"/>
        </w:rPr>
        <w:t xml:space="preserve">Historische Fassung: Stand 10.06.2019 bis 04.03.2021. Dies ist nicht die aktuelle Fassung.</w:t>
      </w:r>
    </w:p>
    <w:p>
      <w:r>
        <w:t xml:space="preserve">Die Angaben zu den monatlichen und jährlichen Erhebungen nach § 3 Abs. 1 in Abteilung 46 werden vom Statistischen Bundesamt erhoben und aufbereitet.</w:t>
      </w:r>
    </w:p>
    <w:p>
      <w:r>
        <w:rPr>
          <w:color w:val="555555"/>
          <w:sz w:val="17"/>
        </w:rPr>
        <w:t xml:space="preserve">Zitiervorschlag: § 10 HdlStatG 2001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https://recht.nulegal.eu/gesetze/HdlStatG%202001/10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