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HdlStatG 2001 — Anordnung, Zweck</w:t>
      </w:r>
    </w:p>
    <w:p>
      <w:r>
        <w:rPr>
          <w:color w:val="555555"/>
          <w:sz w:val="18"/>
        </w:rPr>
        <w:t xml:space="preserve">Handelsstatistikgesetz</w:t>
      </w:r>
    </w:p>
    <w:p>
      <w:r>
        <w:rPr>
          <w:color w:val="555555"/>
          <w:sz w:val="18"/>
        </w:rPr>
        <w:t xml:space="preserve">Historische Fassung: Stand 10.06.2019 bis 04.03.2021. Dies ist nicht die aktuelle Fassung.</w:t>
      </w:r>
    </w:p>
    <w:p>
      <w:r>
        <w:t xml:space="preserve">Zur Beurteilung der Struktur und der Entwicklung im Handel und Gastgewerbe und ihrer wirtschaftlichen Bedeutung werden statistische Erhebungen als Bundesstatistik durchgeführt.</w:t>
      </w:r>
    </w:p>
    <w:p>
      <w:r>
        <w:rPr>
          <w:color w:val="555555"/>
          <w:sz w:val="17"/>
        </w:rPr>
        <w:t xml:space="preserve">Zitiervorschlag: § 1 HdlStatG 2001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https://recht.nulegal.eu/gesetze/HdlStatG%202001/1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