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HdlRegVfg — Elektronische Führung des Handelsregisters</w:t>
      </w:r>
    </w:p>
    <w:p>
      <w:r>
        <w:rPr>
          <w:color w:val="555555"/>
          <w:sz w:val="18"/>
        </w:rPr>
        <w:t xml:space="preserve">Handelsregisterverordnung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Register einschließlich der Registerordner werden elektronisch geführt. § 8a Abs. 2 des Handelsgesetzbuchs bleibt unberührt.</w:t>
      </w:r>
    </w:p>
    <w:p>
      <w:r>
        <w:rPr>
          <w:color w:val="555555"/>
          <w:sz w:val="17"/>
        </w:rPr>
        <w:t xml:space="preserve">Zitiervorschlag: § 7 HdlRegVfg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https://recht.nulegal.eu/gesetze/HdlRegVfg/7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