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HdlRegVfg — Ersatzregister und Ersatzmaßnahmen</w:t>
      </w:r>
    </w:p>
    <w:p>
      <w:r>
        <w:rPr>
          <w:color w:val="555555"/>
          <w:sz w:val="18"/>
        </w:rPr>
        <w:t xml:space="preserve">Handelsregisterverordnung</w:t>
      </w:r>
    </w:p>
    <w:p>
      <w:r>
        <w:rPr>
          <w:color w:val="555555"/>
          <w:sz w:val="18"/>
        </w:rPr>
        <w:t xml:space="preserve">Stand: 10.06.2019 (konsolidierte Textfassung, kein amtliches Inkrafttretensdatum)</w:t>
      </w:r>
    </w:p>
    <w:p>
      <w:r>
        <w:t xml:space="preserve">(1) Ist die Vornahme von Eintragungen in das elektronisch geführte Handelsregister vorübergehend nicht möglich, so können auf Anordnung der nach Landesrecht zuständigen Stelle Eintragungen ohne Vergabe einer neuen Nummer in einem Ersatzregister in Papierform vorgenommen werden, wenn hiervon Verwirrung nicht zu besorgen ist. Sie sollen in das elektronisch geführte Handelsregister übernommen werden, sobald dies wieder möglich ist. Auf die erneute Übernahme sind die Vorschriften über die Anlegung des maschinell geführten Registerblatts in der bis zum Inkrafttreten des Gesetzes über elektronische Handelsregister und Genossenschaftsregister sowie das Unternehmensregister am 1. Januar 2007 geltenden Fassung dieser Verordnung entsprechend anzuwenden.</w:t>
      </w:r>
    </w:p>
    <w:p>
      <w:r>
        <w:t xml:space="preserve">(2) Für die Einrichtung und Führung der Ersatzregister nach Absatz 1 gelten § 17 Abs. 2 und die Bestimmungen des Abschnitts IV dieser Verordnung sowie die Bestimmungen der Abschnitte I bis III in der bis zum Inkrafttreten des Gesetzes über elektronische Handelsregister und Genossenschaftsregister sowie das Unternehmensregister am 1. Januar 2007 geltenden Fassung dieser Verordnung.</w:t>
      </w:r>
    </w:p>
    <w:p>
      <w:r>
        <w:t xml:space="preserve">(3) Können elektronische Anmeldungen und Dokumente vorübergehend nicht entgegengenommen werden, so kann die nach Landesrecht zuständige Stelle anordnen, dass Anmeldungen und Dokumente auch in Papierform zum Handelsregister eingereicht werden können. Die aufgrund einer Anordnung nach Satz 1 eingereichten Schriftstücke sind unverzüglich in elektronische Dokumente zu übertragen.</w:t>
      </w:r>
    </w:p>
    <w:p>
      <w:r>
        <w:rPr>
          <w:color w:val="555555"/>
          <w:sz w:val="17"/>
        </w:rPr>
        <w:t xml:space="preserve">Zitiervorschlag: § 54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