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HdlRegVfg — Umfang des automatisierten Datenabrufs</w:t>
      </w:r>
    </w:p>
    <w:p>
      <w:r>
        <w:rPr>
          <w:color w:val="555555"/>
          <w:sz w:val="18"/>
        </w:rPr>
        <w:t xml:space="preserve">Handelsregisterverordnung</w:t>
      </w:r>
    </w:p>
    <w:p>
      <w:r>
        <w:rPr>
          <w:color w:val="555555"/>
          <w:sz w:val="18"/>
        </w:rPr>
        <w:t xml:space="preserve">Stand: 01.08.2022 (konsolidierte Textfassung, kein amtliches Inkrafttretensdatum)</w:t>
      </w:r>
    </w:p>
    <w:p>
      <w:r>
        <w:t xml:space="preserve">Umfang und Voraussetzungen des Abrufs im automatisierten Verfahren einschließlich des Rechts, von den abgerufenen Daten Abdrucke zu fertigen, bestimmen sich nach § 9 Abs. 1 des Handelsgesetzbuchs. Für den Abruf im automatisierten Verfahren ist technisch sicherzustellen, dass ein Abruf der der Einsicht unterliegenden Abdrucke, Dokumente und Informationen jeweils nur einzeln für jedes Registerblatt möglich ist und dass keine gezielte Suche nach natürlichen Personen möglich ist. Abdrucke stehen den Ausdrucken (§ 30a) nicht gleich.</w:t>
      </w:r>
    </w:p>
    <w:p>
      <w:r>
        <w:rPr>
          <w:color w:val="555555"/>
          <w:sz w:val="17"/>
        </w:rPr>
        <w:t xml:space="preserve">Zitiervorschlag: § 52 HdlRegVfg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https://recht.nulegal.eu/gesetze/HdlRegVfg/52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