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HdlRegVfg — Gestaltung des elektronisch geführten Handelsregisters</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(1) Der Inhalt des elektronisch geführten Handelsregisters muß auf dem Bildschirm und in Ausdrucken entsprechend den beigegebenen Mustern (Anlagen 4 und 5) sichtbar gemacht werden können. Der letzte Stand aller noch nicht gegenstandslos gewordenen Eintragungen (aktueller Registerinhalt) kann statt in spaltenweiser Wiedergabe auch als fortlaufender Text nach den Mustern in Anlage 6 und 7 sichtbar gemacht werden.</w:t>
      </w:r>
    </w:p>
    <w:p>
      <w:r>
        <w:t xml:space="preserve">(2) Der Inhalt geschlossener Registerblätter, die nicht für die elektronische Registerführung umgeschrieben wurden, muss entsprechend den beigegebenen Mustern (Anlagen 1 und 2 in der bis zum Inkrafttreten des Gesetzes über elektronische Handelsregister und Genossenschaftsregister sowie das Unternehmensregister am 1. Januar 2007 geltenden Fassung dieser Verordnung) auf dem Bildschirm und in Ausdrucken sichtbar gemacht werden können, wenn nicht die letzte Eintragung in das Registerblatt vor dem 1. Januar 1997 erfolgte.</w:t>
      </w:r>
    </w:p>
    <w:p>
      <w:r>
        <w:rPr>
          <w:color w:val="555555"/>
          <w:sz w:val="17"/>
        </w:rPr>
        <w:t xml:space="preserve">Zitiervorschlag: § 50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HdlRegVfg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