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HdlRegVfg — Anforderungen an Anlagen und Programme, Sicherung der Anlagen, Programme und Daten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Hinsichtlich der Anforderungen an die für das elektronisch geführte Handelsregister verwendeten Anlagen und Programme, deren Sicherung sowie der Sicherung der Daten gelten die §§ 64 bis 66 der Grundbuchverfügung entsprechend.</w:t>
      </w:r>
    </w:p>
    <w:p>
      <w:r>
        <w:t xml:space="preserve">(2) Das eingesetzte Datenverarbeitungssystem soll innerhalb eines jeden Landes einheitlich sein und mit den in den anderen Ländern eingesetzten Systemen verbunden werden können.</w:t>
      </w:r>
    </w:p>
    <w:p>
      <w:r>
        <w:rPr>
          <w:color w:val="555555"/>
          <w:sz w:val="17"/>
        </w:rPr>
        <w:t xml:space="preserve">Zitiervorschlag: § 49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