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HdlRegVfg — Grundsatz</w:t>
      </w:r>
    </w:p>
    <w:p>
      <w:r>
        <w:rPr>
          <w:color w:val="555555"/>
          <w:sz w:val="18"/>
        </w:rPr>
        <w:t xml:space="preserve">Handelsregisterverordnung</w:t>
      </w:r>
    </w:p>
    <w:p>
      <w:r>
        <w:rPr>
          <w:color w:val="555555"/>
          <w:sz w:val="18"/>
        </w:rPr>
        <w:t xml:space="preserve">Stand: 10.12.2019 (konsolidierte Textfassung, kein amtliches Inkrafttretensdatum)</w:t>
      </w:r>
    </w:p>
    <w:p>
      <w:r>
        <w:t xml:space="preserve">(1) Bei der elektronischen Führung des Handelsregisters muss gewährleistet sein, dass</w:t>
      </w:r>
    </w:p>
    <w:p>
      <w:pPr>
        <w:ind w:left="420"/>
      </w:pPr>
      <w:r>
        <w:t xml:space="preserve">1. die Grundsätze einer ordnungsgemäßen Datenverarbeitung eingehalten, insbesondere Vorkehrungen gegen einen Datenverlust getroffen sowie die erforderlichen Kopien der Datenbestände mindestens tagesaktuell gehalten und die originären Datenbestände sowie deren Kopien sicher aufbewahrt werden,</w:t>
      </w:r>
    </w:p>
    <w:p>
      <w:pPr>
        <w:ind w:left="420"/>
      </w:pPr>
      <w:r>
        <w:t xml:space="preserve">2. die vorzunehmenden Eintragungen alsbald in einen Datenspeicher aufgenommen und auf Dauer inhaltlich unverändert in lesbarer Form wiedergegeben werden können,</w:t>
      </w:r>
    </w:p>
    <w:p>
      <w:pPr>
        <w:ind w:left="420"/>
      </w:pPr>
      <w:r>
        <w:t xml:space="preserve">3. die nach den Artikeln 24, 25 und 32 der Verordnung (EU) 2016/679 erforderlichen Anforderungen erfüllt sind, soweit es um personenbezogene Daten geht.</w:t>
      </w:r>
    </w:p>
    <w:p>
      <w:r>
        <w:t xml:space="preserve">Die Dokumente sind in inhaltlich unveränderbarer Form zu speichern.</w:t>
      </w:r>
    </w:p>
    <w:p>
      <w:r>
        <w:t xml:space="preserve">(2) Wird die Datenverarbeitung im Auftrag des zuständigen Amtsgerichts auf den Anlagen einer anderen staatlichen Stelle oder eines Dritten vorgenommen (§ 387 Abs. 5 des Gesetzes über das Verfahren in Familiensachen und in den Angelegenheiten der freiwilligen Gerichtsbarkeit), so muss sichergestellt sein, dass Eintragungen in das Handelsregister und der Abruf von Daten hieraus nur erfolgen, wenn dies von dem zuständigen Gericht verfügt worden oder sonst zulässig ist.</w:t>
      </w:r>
    </w:p>
    <w:p>
      <w:r>
        <w:t xml:space="preserve">(3) Die Verarbeitung der Registerdaten auf Anlagen, die nicht im Eigentum der anderen staatlichen Stelle oder des Dritten stehen, ist nur zulässig, wenn gewährleistet ist, dass die Daten dem uneingeschränkten Zugriff des zuständigen Gerichts unterliegen und der Eigentümer der Anlage keinen Zugang zu den Daten hat.</w:t>
      </w:r>
    </w:p>
    <w:p>
      <w:r>
        <w:rPr>
          <w:color w:val="555555"/>
          <w:sz w:val="17"/>
        </w:rPr>
        <w:t xml:space="preserve">Zitiervorschlag: § 47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