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HdlRegVfg</w:t>
      </w:r>
    </w:p>
    <w:p>
      <w:r>
        <w:rPr>
          <w:color w:val="555555"/>
          <w:sz w:val="18"/>
        </w:rPr>
        <w:t xml:space="preserve">Handelsregisterverordnung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eine Aktiengesellschaft, eine SE, eine Kommanditgesellschaft auf Aktien oder eine Gesellschaft mit beschränkter Haftung als nichtig gelöscht werden, so ist, wenn der Mangel geheilt werden kann, in der nach § 395 Abs. 2, § 397 des Gesetzes über das Verfahren in Familiensachen und in den Angelegenheiten der freiwilligen Gerichtsbarkeit ergehenden Benachrichtigung auf diese Möglichkeit ausdrücklich hinzuweisen.</w:t>
      </w:r>
    </w:p>
    <w:p>
      <w:r>
        <w:t xml:space="preserve">(2) Die Löschung erfolgt durch Eintragung eines Vermerks, der die Gesellschaft als nichtig bezeichnet. Gleiches gilt, wenn die Gesellschaft durch rechtskräftiges Urteil für nichtig erklärt ist.</w:t>
      </w:r>
    </w:p>
    <w:p>
      <w:r>
        <w:rPr>
          <w:color w:val="555555"/>
          <w:sz w:val="17"/>
        </w:rPr>
        <w:t xml:space="preserve">Zitiervorschlag: § 45 HdlRegVfg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https://recht.nulegal.eu/gesetze/HdlRegVfg/45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