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HdlRegVfg</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(1) Wird bei dem Eintritt eines persönlich haftenden Gesellschafters oder eines Kommanditisten in das Geschäft eines Einzelkaufmanns oder bei dem Eintritt eines Gesellschafters in eine bestehende Gesellschaft die bisherige Firma nicht fortgeführt und die neue Firma unter einer neuen Nummer auf einem anderen Registerblatt eingetragen, so ist der Eintritt in Spalte 5 des Registers bei der bisherigen und bei der neuen Firma zu vermerken. Dasselbe gilt von einer von § 28 Abs. 1 des Handelsgesetzbuchs abweichenden Vereinbarung.</w:t>
      </w:r>
    </w:p>
    <w:p>
      <w:r>
        <w:t xml:space="preserve">(2) Auf jedem Registerblatt ist auf das andere in Spalte "Bemerkungen" zu verweisen.</w:t>
      </w:r>
    </w:p>
    <w:p>
      <w:r>
        <w:rPr>
          <w:color w:val="555555"/>
          <w:sz w:val="17"/>
        </w:rPr>
        <w:t xml:space="preserve">Zitiervorschlag: § 41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