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HdlRegVfg — Mitteilungen an andere Stellen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hat jede Neuanlegung und jede Änderung eines Registerblatts</w:t>
      </w:r>
    </w:p>
    <w:p>
      <w:pPr>
        <w:ind w:left="420"/>
      </w:pPr>
      <w:r>
        <w:t xml:space="preserve">1. der Industrie- und Handelskammer,</w:t>
      </w:r>
    </w:p>
    <w:p>
      <w:pPr>
        <w:ind w:left="420"/>
      </w:pPr>
      <w:r>
        <w:t xml:space="preserve">2. der Handwerkskammer, wenn es sich um ein handwerkliches Unternehmen handelt oder handeln kann, und</w:t>
      </w:r>
    </w:p>
    <w:p>
      <w:pPr>
        <w:ind w:left="420"/>
      </w:pPr>
      <w:r>
        <w:t xml:space="preserve">3. der Landwirtschaftskammer, wenn es sich um ein land- oder forstwirtschaftliches Unternehmen handelt oder handeln kann, oder, wenn eine Landwirtschaftskammer nicht besteht, der nach Landesrecht zuständigen Stelle</w:t>
      </w:r>
    </w:p>
    <w:p>
      <w:r>
        <w:t xml:space="preserve">mitzuteilen. Die über Geschäftsräume und Unternehmensgegenstand gemachten Angaben sind ebenfalls mitzuteilen.</w:t>
      </w:r>
    </w:p>
    <w:p>
      <w:r>
        <w:t xml:space="preserve">(2) Soweit in anderen Rechtsvorschriften oder durch besondere Anordnung der Landesjustizverwaltung eine Benachrichtigung weiterer Stellen vorgesehen ist, bleiben diese Vorschriften unberührt.</w:t>
      </w:r>
    </w:p>
    <w:p>
      <w:r>
        <w:rPr>
          <w:color w:val="555555"/>
          <w:sz w:val="17"/>
        </w:rPr>
        <w:t xml:space="preserve">Zitiervorschlag: § 37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