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HdlRegVfg</w:t>
      </w:r>
    </w:p>
    <w:p>
      <w:r>
        <w:rPr>
          <w:color w:val="555555"/>
          <w:sz w:val="18"/>
        </w:rPr>
        <w:t xml:space="preserve">Handelsregisterverordnung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Urkundsbeamte der Geschäftsstelle unterschreibt die Mitteilungen. In geeigneten Fällen ist darauf hinzuweisen, daß auf die Bekanntgabe verzichtet werden kann (§ 383 Abs. 1 Satz 1 des Gesetzes über das Verfahren in Familiensachen und in den Angelegenheiten der freiwilligen Gerichtsbarkeit).</w:t>
      </w:r>
    </w:p>
    <w:p>
      <w:r>
        <w:rPr>
          <w:color w:val="555555"/>
          <w:sz w:val="17"/>
        </w:rPr>
        <w:t xml:space="preserve">Zitiervorschlag: § 36 HdlRegVfg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https://recht.nulegal.eu/gesetze/HdlRegVfg/36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