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Handelsregister besteht aus zwei Abteilungen.</w:t>
      </w:r>
    </w:p>
    <w:p>
      <w:r>
        <w:t xml:space="preserve">(2) In die Abteilung A werden eingetragen die Einzelkaufleute, die in den § 33 des Handelsgesetzbuchs bezeichneten juristischen Personen sowie die offenen Handelsgesellschaften, die Kommanditgesellschaften und die Europäischen wirtschaftlichen Interessenvereinigungen.</w:t>
      </w:r>
    </w:p>
    <w:p>
      <w:r>
        <w:t xml:space="preserve">(3) In die Abteilung B werden eingetragen die Aktiengesellschaften, die SE, die Kommanditgesellschaften auf Aktien, die Gesellschaften mit beschränkter Haftung und die Versicherungsvereine auf Gegenseitigkeit.</w:t>
      </w:r>
    </w:p>
    <w:p>
      <w:r>
        <w:rPr>
          <w:color w:val="555555"/>
          <w:sz w:val="17"/>
        </w:rPr>
        <w:t xml:space="preserve">Zitiervorschlag: § 3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