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HdlRegVfg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(1) Der Urkundsbeamte der Geschäftsstelle ist zuständig:</w:t>
      </w:r>
    </w:p>
    <w:p>
      <w:pPr>
        <w:ind w:left="420"/>
      </w:pPr>
      <w:r>
        <w:t xml:space="preserve">1. für die Erteilung von Abschriften oder Ausdrucken oder die elektronische Übermittlung der Eintragungen und der zum Register eingereichten Schriftstücke und Dokumente; wird eine auszugsweise Abschrift, ein auszugsweiser Ausdruck oder eine auszugsweise elektronische Übermittlung beantragt, so entscheidet bei Zweifeln über den Umfang des Auszugs der Richter;</w:t>
      </w:r>
    </w:p>
    <w:p>
      <w:pPr>
        <w:ind w:left="420"/>
      </w:pPr>
      <w:r>
        <w:t xml:space="preserve">2. für die Beglaubigung und die Erteilung oder elektronische Übermittlung von Bescheinigungen nach § 9 Abs. 5 des Handelsgesetzbuchs und von Verschmelzungs-, Spaltungs- oder Formwechselbescheinigungen nach § 316 Absatz 1 Satz 4, § 329 Satz 3 oder § 343 Absatz 1 Satz 4 des Umwandlungsgesetzes;</w:t>
      </w:r>
    </w:p>
    <w:p>
      <w:pPr>
        <w:ind w:left="420"/>
      </w:pPr>
      <w:r>
        <w:t xml:space="preserve">3. für die Eintragung der in § 32 des Handelsgesetzbuchs vorgesehenen Vermerke im Zusammenhang mit einem Insolvenzverfahren;</w:t>
      </w:r>
    </w:p>
    <w:p>
      <w:pPr>
        <w:ind w:left="420"/>
      </w:pPr>
      <w:r>
        <w:t xml:space="preserve">4. für die Eintragung der Geschäftsanschrift;</w:t>
      </w:r>
    </w:p>
    <w:p>
      <w:pPr>
        <w:ind w:left="420"/>
      </w:pPr>
      <w:r>
        <w:t xml:space="preserve">5. für die elektronische Aufzeichnung der erstmaligen Abrufbarkeit einer Eintragung oder Tatsache im Registerordner, falls die Landesjustizverwaltung eine elektronische Aufzeichnung gemäß § 27 Absatz 5 bestimmt.</w:t>
      </w:r>
    </w:p>
    <w:p>
      <w:r>
        <w:t xml:space="preserve">(2) Wird die Änderung einer Entscheidung des Urkundsbeamten der Geschäftsstelle verlangt, so entscheidet, wenn dieser dem Verlangen nicht entspricht, der Richter. Die Beschwerde ist erst gegen seine Entscheidung gegeben.</w:t>
      </w:r>
    </w:p>
    <w:p>
      <w:r>
        <w:rPr>
          <w:color w:val="555555"/>
          <w:sz w:val="17"/>
        </w:rPr>
        <w:t xml:space="preserve">Zitiervorschlag: § 29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