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HdlRegVfg — Vornahme der Eintragung</w:t>
      </w:r>
    </w:p>
    <w:p>
      <w:r>
        <w:rPr>
          <w:color w:val="555555"/>
          <w:sz w:val="18"/>
        </w:rPr>
        <w:t xml:space="preserve">Handelsregisterverordnung</w:t>
      </w:r>
    </w:p>
    <w:p>
      <w:r>
        <w:rPr>
          <w:color w:val="555555"/>
          <w:sz w:val="18"/>
        </w:rPr>
        <w:t xml:space="preserve">Stand: 01.08.2022 (konsolidierte Textfassung, kein amtliches Inkrafttretensdatum)</w:t>
      </w:r>
    </w:p>
    <w:p>
      <w:r>
        <w:t xml:space="preserve">(1) Der Richter nimmt die Eintragung entweder selbst vor oder er verfügt die Eintragung durch den Urkundsbeamten der Geschäftsstelle.</w:t>
      </w:r>
    </w:p>
    <w:p>
      <w:r>
        <w:t xml:space="preserve">(2) Nimmt der Richter die Eintragung nicht selbst vor, so hat er in der Eintragungsverfügung den genauen Wortlaut der Eintragung sowie die Eintragungsstelle im Register samt aller zur Eintragung erforderlichen Merkmale festzustellen. Der Urkundsbeamte der Geschäftsstelle hat die Ausführung der Eintragungsverfügung zu veranlassen und die Eintragung zu signieren.</w:t>
      </w:r>
    </w:p>
    <w:p>
      <w:r>
        <w:t xml:space="preserve">(3) Die Wirksamkeit der Eintragung (§ 8a Abs. 1 des Handelsgesetzbuchs) ist in geeigneter Weise zu überprüfen. Die eintragende Person soll die Eintragung auf ihre Richtigkeit und Vollständigkeit sowie ihre Abrufbarkeit aus dem Datenspeicher (§ 48) prüfen.</w:t>
      </w:r>
    </w:p>
    <w:p>
      <w:r>
        <w:t xml:space="preserve">(4) Bei jeder Eintragung ist der Tag der Eintragung anzugeben.</w:t>
      </w:r>
    </w:p>
    <w:p>
      <w:r>
        <w:t xml:space="preserve">(5) Die Landesjustizverwaltung kann bestimmen, dass eine elektronische Aufzeichnung des genauen Zeitpunktes der erstmaligen Abrufbarkeit einer Eintragung oder Tatsache im Registerordner des jeweiligen Registerblattes gespeichert wird.</w:t>
      </w:r>
    </w:p>
    <w:p>
      <w:r>
        <w:rPr>
          <w:color w:val="555555"/>
          <w:sz w:val="17"/>
        </w:rPr>
        <w:t xml:space="preserve">Zitiervorschlag: § 27 HdlRegVfg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https://recht.nulegal.eu/gesetze/HdlRegVfg/27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