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HdlRegVfg</w:t>
      </w:r>
    </w:p>
    <w:p>
      <w:r>
        <w:rPr>
          <w:color w:val="555555"/>
          <w:sz w:val="18"/>
        </w:rPr>
        <w:t xml:space="preserve">Handelsregisterverordnung</w:t>
      </w:r>
    </w:p>
    <w:p>
      <w:r>
        <w:rPr>
          <w:color w:val="555555"/>
          <w:sz w:val="18"/>
        </w:rPr>
        <w:t xml:space="preserve">Stand: 01.08.2022 (konsolidierte Textfassung, kein amtliches Inkrafttretensdatum)</w:t>
      </w:r>
    </w:p>
    <w:p>
      <w:r>
        <w:t xml:space="preserve">(1) Auf die Anmeldung zur Eintragung, auf Gesuche und Anträge entscheidet der Richter. Über die Eintragung ist unverzüglich nach Eingang der Anmeldung bei Gericht zu entscheiden. Ist eine Anmeldung zur Eintragung in das Handelsregister unvollständig oder steht der Eintragung ein durch den Antragsteller behebbares Hindernis entgegen, so hat der Richter unverzüglich zu verfügen; liegt ein nach § 23 einzuholendes Gutachten bis dahin nicht vor, so ist dies dem Antragsteller unverzüglich mitzuteilen. Der Richter entscheidet auch über die erforderlichen Registerbekanntmachungen gemäß § 10 Absatz 3 des Handelsgesetzbuchs.</w:t>
      </w:r>
    </w:p>
    <w:p>
      <w:r>
        <w:t xml:space="preserve">(2) Der Richter ist für die Eintragung auch dann zuständig, wenn sie vom Beschwerdegericht oder nach § 395 des Gesetzes über das Verfahren in Familiensachen und in den Angelegenheiten der freiwilligen Gerichtsbarkeit verfügt ist.</w:t>
      </w:r>
    </w:p>
    <w:p>
      <w:r>
        <w:t xml:space="preserve">(3) Unbeschadet des Absatzes 1 Satz 2 sind innerhalb eines Zeitraumes von in der Regel zehn Werktagen nach dem Eingang der vollständigen Anmeldung oder im Fall eines durch den Antragsteller behebbaren Eintragungshindernisses innerhalb eines Zeitraumes von in der Regel zehn Werktagen nach dessen Behebung einzutragen:</w:t>
      </w:r>
    </w:p>
    <w:p>
      <w:pPr>
        <w:ind w:left="420"/>
      </w:pPr>
      <w:r>
        <w:t xml:space="preserve">1. die Gründung einer Gesellschaft mit beschränkter Haftung, die mittels Videokommunikation gemäß § 2 Absatz 3 des Gesetzes betreffend die Gesellschaften mit beschränkter Haftung in Verbindung mit den §§ 16a bis 16e des Beurkundungsgesetzes notariell beurkundet wurde, und</w:t>
      </w:r>
    </w:p>
    <w:p>
      <w:pPr>
        <w:ind w:left="420"/>
      </w:pPr>
      <w:r>
        <w:t xml:space="preserve">2. die Errichtung einer Zweigniederlassung einer Kapitalgesellschaft, die dem Recht eines anderen Mitgliedstaates der Europäischen Union oder eines anderen Vertragsstaates des Abkommens über den Europäischen Wirtschaftsraum unterliegt, deren Anmeldung zur Eintragung mittels Videokommunikation nach § 12 Absatz 1 Satz 2 des Handelsgesetzbuchs in Verbindung mit § 40a des Beurkundungsgesetzes beglaubigt wurde.</w:t>
      </w:r>
    </w:p>
    <w:p>
      <w:r>
        <w:t xml:space="preserve">Im Fall der Anmeldung der Gründung einer Gesellschaft mit beschränkter Haftung mittels Videokommunikation mit ausschließlich natürlichen Personen als Gesellschaftern und der Verwendung von Musterprotokollen nach § 2 Absatz 1a oder 3 des Gesetzes betreffend die Gesellschaften mit beschränkter Haftung beträgt die Frist nach Satz 1 fünf Werktage. Erfolgt die Eintragung nicht innerhalb der Frist nach Satz 1 oder Satz 2, informiert das Registergericht die Antragssteller über die Gründe für die Verzögerung.</w:t>
      </w:r>
    </w:p>
    <w:p>
      <w:r>
        <w:rPr>
          <w:color w:val="555555"/>
          <w:sz w:val="17"/>
        </w:rPr>
        <w:t xml:space="preserve">Zitiervorschlag: § 25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