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HdlRegVfg</w:t>
      </w:r>
    </w:p>
    <w:p>
      <w:r>
        <w:rPr>
          <w:color w:val="555555"/>
          <w:sz w:val="18"/>
        </w:rPr>
        <w:t xml:space="preserve">Handelsregisterverordnung</w:t>
      </w:r>
    </w:p>
    <w:p>
      <w:r>
        <w:rPr>
          <w:color w:val="555555"/>
          <w:sz w:val="18"/>
        </w:rPr>
        <w:t xml:space="preserve">Stand: 15.11.2024 (konsolidierte Textfassung, kein amtliches Inkrafttretensdatum)</w:t>
      </w:r>
    </w:p>
    <w:p>
      <w:r>
        <w:t xml:space="preserve">(1) Werden natürliche Personen zur Eintragung in das Handelsregister angemeldet (insbesondere als Kaufleute, Gesellschafter, Prokuristen, Vorstandsmitglieder, Mitglieder des Leitungsorgans, geschäftsführende Direktoren, Geschäftsführer, Abwickler), so ist in der Anmeldung deren Geburtsdatum anzugeben.</w:t>
      </w:r>
    </w:p>
    <w:p>
      <w:r>
        <w:t xml:space="preserve">(2) Bei der Anmeldung ist die Lage der Geschäftsräume anzugeben. Dies gilt nicht, wenn die Lage der Geschäftsräume als inländische Geschäftsanschrift zur Eintragung in das Handelsregister angemeldet wird oder bereits in das Handelsregister eingetragen worden ist. Eine Änderung der Lage der Geschäftsräume ist dem Registergericht unverzüglich mitzuteilen; Satz 2 gilt entsprechend.</w:t>
      </w:r>
    </w:p>
    <w:p>
      <w:r>
        <w:t xml:space="preserve">(3) Absatz 2 gilt für die Anmeldung einer Zweigniederlassung und die Änderung der Lage ihrer Geschäftsräume entsprechend.</w:t>
      </w:r>
    </w:p>
    <w:p>
      <w:r>
        <w:t xml:space="preserve">(4) Es ist darauf hinzuwirken, daß bei den Anmeldungen auch der Unternehmensgegenstand, soweit er sich nicht aus der Firma ergibt, angegeben wird.</w:t>
      </w:r>
    </w:p>
    <w:p>
      <w:r>
        <w:rPr>
          <w:color w:val="555555"/>
          <w:sz w:val="17"/>
        </w:rPr>
        <w:t xml:space="preserve">Zitiervorschlag: § 24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