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HdlRegVfg</w:t>
      </w:r>
    </w:p>
    <w:p>
      <w:r>
        <w:rPr>
          <w:color w:val="555555"/>
          <w:sz w:val="18"/>
        </w:rPr>
        <w:t xml:space="preserve">Handelsregisterverordnung</w:t>
      </w:r>
    </w:p>
    <w:p>
      <w:r>
        <w:rPr>
          <w:color w:val="555555"/>
          <w:sz w:val="18"/>
        </w:rPr>
        <w:t xml:space="preserve">Stand: 10.06.2019 (konsolidierte Textfassung, kein amtliches Inkrafttretensdatum)</w:t>
      </w:r>
    </w:p>
    <w:p>
      <w:r>
        <w:t xml:space="preserve">Wird die Hauptniederlassung eines Einzelkaufmanns, einer juristischen Person oder der Sitz einer Handelsgesellschaft oder die Zweigniederlassung eines Unternehmens mit Sitz oder Hauptniederlassung im Ausland aus dem Bezirk des Registergerichts verlegt, so ist erst bei Eingang der Nachricht von der Eintragung in das Register des neuen Registergerichts (§ 13h Abs. 2 Satz 5 des Handelsgesetzbuchs; § 45 Abs. 2 Satz 6 des Aktiengesetzes) die Verlegung auf dem bisherigen Registerblatt in der Spalte 2 und in der Spalte "Rechtsverhältnisse" zu vermerken; § 22 ist entsprechend anzuwenden. Auf dem bisherigen Registerblatt ist bei der jeweiligen Eintragung auf das Registerblatt des neuen Registergerichts zu verweisen und umgekehrt.</w:t>
      </w:r>
    </w:p>
    <w:p>
      <w:r>
        <w:rPr>
          <w:color w:val="555555"/>
          <w:sz w:val="17"/>
        </w:rPr>
        <w:t xml:space="preserve">Zitiervorschlag: § 20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