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HdlRegVfg</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(1) Soll eine Eintragung von Amts wegen gelöscht werden, weil Sie mangels einer wesentlichen Voraussetzung unzulässig ist, so erfolgt die Löschung durch Eintragung des Vermerks "Von Amts wegen gelöscht".</w:t>
      </w:r>
    </w:p>
    <w:p>
      <w:r>
        <w:t xml:space="preserve">(2) Hat in sonstigen Fällen eine Eintragung von Amts wegen zu erfolgen, so hat sie den Hinweis auf die gesetzliche Grundlage und einen Vermerk "Von Amts wegen eingetragen" zu enthalten. Dies gilt nicht für die Eintragung der Vermerke über die Eröffnung, die Einstellung oder Aufhebung des Insolvenzverfahrens, die Aufhebung des Eröffnungsbeschlusses, die Anordnung der Eigenverwaltung durch den Schuldner und deren Aufhebung, die Anordnung der Zustimmungsbedürftigkeit bestimmter Rechtsgeschäfte des Schuldners nach § 277 der Insolvenzordnung sowie die sonstigen in § 32 des Handelsgesetzbuchs vorgesehenen Vermerke.</w:t>
      </w:r>
    </w:p>
    <w:p>
      <w:r>
        <w:rPr>
          <w:color w:val="555555"/>
          <w:sz w:val="17"/>
        </w:rPr>
        <w:t xml:space="preserve">Zitiervorschlag: § 19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