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Änderungen des Inhalts einer Eintragung sowie Löschungen sind unter einer neuen laufenden Nummer einzutragen. Eine Eintragung, die durch eine spätere Eintragung ihre Bedeutung verloren hat, ist nach Anordnung des Richters rot zu unterstreichen. Mit der Eintragung selbst ist auch der Vermerk über ihre Löschung rot zu unterstreichen.</w:t>
      </w:r>
    </w:p>
    <w:p>
      <w:r>
        <w:t xml:space="preserve">(2) Eintragungen oder Vermerke, die rot zu unterstreichen oder rot zu durchkreuzen sind, können anstelle durch Rötung auch auf andere eindeutige Weise als gegenstandslos kenntlich gemacht werden.</w:t>
      </w:r>
    </w:p>
    <w:p>
      <w:r>
        <w:t xml:space="preserve">(3) Ein Teil einer Eintragung darf nur gerötet oder auf andere eindeutige Weise als gegenstandslos kenntlich gemacht werden, wenn die Verständlichkeit der Eintragung und des aktuellen Ausdrucks nicht beeinträchtigt wird. Andernfalls ist die betroffene Eintragung insgesamt zu röten und ihr noch gültiger Teil in verständlicher Form zu wiederholen.</w:t>
      </w:r>
    </w:p>
    <w:p>
      <w:r>
        <w:rPr>
          <w:color w:val="555555"/>
          <w:sz w:val="17"/>
        </w:rPr>
        <w:t xml:space="preserve">Zitiervorschlag: § 16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