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HdlRegVfg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 Eintragung ist mit einer laufenden Nummer zu versehen und mittels eines alle Spalten des Registers durchschneidenden Querstrichs von der folgenden Eintragung zu trennen.</w:t>
      </w:r>
    </w:p>
    <w:p>
      <w:r>
        <w:t xml:space="preserve">(2) Werden mehrere Eintragungen gleichzeitig vorgenommen, so erhalten sie nur eine laufende Nummer.</w:t>
      </w:r>
    </w:p>
    <w:p>
      <w:r>
        <w:rPr>
          <w:color w:val="555555"/>
          <w:sz w:val="17"/>
        </w:rPr>
        <w:t xml:space="preserve">Zitiervorschlag: § 14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