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HdlRegVfg — Einsichtnahme</w:t>
      </w:r>
    </w:p>
    <w:p>
      <w:r>
        <w:rPr>
          <w:color w:val="555555"/>
          <w:sz w:val="18"/>
        </w:rPr>
        <w:t xml:space="preserve">Handelsregisterverordnung</w:t>
      </w:r>
    </w:p>
    <w:p>
      <w:r>
        <w:rPr>
          <w:color w:val="555555"/>
          <w:sz w:val="18"/>
        </w:rPr>
        <w:t xml:space="preserve">Stand: 01.08.2022 (konsolidierte Textfassung, kein amtliches Inkrafttretensdatum)</w:t>
      </w:r>
    </w:p>
    <w:p>
      <w:r>
        <w:t xml:space="preserve">(1) Die Einsicht in das Register und in die zum Register eingereichten Dokumente ist auf der Geschäftsstelle des Registergerichts während der Dienststunden zu ermöglichen.</w:t>
      </w:r>
    </w:p>
    <w:p>
      <w:r>
        <w:t xml:space="preserve">(2) Die Einsicht in das elektronische Registerblatt erfolgt über ein Datensichtgerät oder durch Einsicht in einen aktuellen oder chronologischen Ausdruck. Die Landesjustizverwaltungen können weitere Formen der Einsicht in das elektronische Registerblatt ermöglichen. Dem Einsichtnehmenden kann gestattet werden, das Registerblatt selbst auf dem Bildschirm des Datensichtgerätes aufzurufen, wenn technisch sichergestellt ist, dass der Abruf von Daten die nach § 9 Abs. 1 des Handelsgesetzbuchs zulässige Einsicht nicht überschreitet und Veränderungen an dem Inhalt des Handelsregisters nicht vorgenommen werden können.</w:t>
      </w:r>
    </w:p>
    <w:p>
      <w:r>
        <w:t xml:space="preserve">(3) Über das Datensichtgerät ist auch der Inhalt des Registerordners einschließlich der nach § 9 Abs. 4 oder Abs. 5 Satz 2 aufgenommenen Angaben und der eingereichten Übersetzungen zugänglich zu machen.</w:t>
      </w:r>
    </w:p>
    <w:p>
      <w:r>
        <w:rPr>
          <w:color w:val="555555"/>
          <w:sz w:val="17"/>
        </w:rPr>
        <w:t xml:space="preserve">Zitiervorschlag: § 10 HdlRegVfg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https://recht.nulegal.eu/gesetze/HdlRegVfg/10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