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HdlKlG</w:t>
      </w:r>
    </w:p>
    <w:p>
      <w:r>
        <w:rPr>
          <w:color w:val="555555"/>
          <w:sz w:val="18"/>
        </w:rPr>
        <w:t xml:space="preserve">Handelsklassengesetz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wird ermächtigt, die auf Grund des Gesetzes über gesetzliche Handelsklassen für Erzeugnisse der Landwirtschaft und Fischerei vom 17. Dezember 1951 (Bundesgesetzbl. I S. 970), geändert durch das Gesetz zur Änderung des Gesetzes über gesetzliche Handelsklassen für Erzeugnisse der Landwirtschaft und Fischerei vom 8. Juni 1955 (Bundesgesetzbl. I S. 266), erlassenen Rechtsverordnungen im Einvernehmen mit dem Bundesministerium für Wirtschaft und Energie mit Zustimmung des Bundesrates im Rahmen der Ermächtigungen nach den §§ 1 und 2 zu ändern oder aufzuheben.</w:t>
      </w:r>
    </w:p>
    <w:p>
      <w:r>
        <w:t xml:space="preserve">(2) Die Vorschriften der §§ 5 und 6 gelten mit dem Inkrafttreten dieses Gesetzes auch zur Überwachung der Vorschriften, die auf Grund des in Absatz 1 genannten Gesetzes erlassen worden sind.</w:t>
      </w:r>
    </w:p>
    <w:p>
      <w:r>
        <w:t xml:space="preserve">(3) Soweit in Bußgeldvorschriften Verweisungen auf § 7 des in Absatz 1 genannten Gesetzes enthalten sind, gelten diese als Verweisungen auf § 7 Abs. 1 Nr. 3 dieses Gesetzes.</w:t>
      </w:r>
    </w:p>
    <w:p>
      <w:r>
        <w:rPr>
          <w:color w:val="555555"/>
          <w:sz w:val="17"/>
        </w:rPr>
        <w:t xml:space="preserve">Zitiervorschlag: § 8 HdlKlG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https://recht.nulegal.eu/gesetze/HdlKlG/8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HdlKlG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