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HdlKlG</w:t>
      </w:r>
    </w:p>
    <w:p>
      <w:r>
        <w:rPr>
          <w:color w:val="555555"/>
          <w:sz w:val="18"/>
        </w:rPr>
        <w:t xml:space="preserve">Handelsklassengesetz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des Lebensmittelrechts bleiben unberührt.</w:t>
      </w:r>
    </w:p>
    <w:p>
      <w:r>
        <w:rPr>
          <w:color w:val="555555"/>
          <w:sz w:val="17"/>
        </w:rPr>
        <w:t xml:space="preserve">Zitiervorschlag: § 10 HdlKlG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https://recht.nulegal.eu/gesetze/HdlKlG/10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