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HdlFachwPrV — Zeugnisse</w:t>
      </w:r>
    </w:p>
    <w:p>
      <w:r>
        <w:rPr>
          <w:color w:val="555555"/>
          <w:sz w:val="18"/>
        </w:rPr>
        <w:t xml:space="preserve">Verordnung über die Prüfung zum anerkannten Fortbildungsabschluss Geprüfter Handelsfachwirt und Geprüfte Handelsfachwirtin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Wer die Prüfung nach § 7 Absatz 1 bestanden hat, erhält von der zuständigen Stelle zwei Zeugnisse nach Maßgabe der Anlage 2 Teil A und B.</w:t>
      </w:r>
    </w:p>
    <w:p>
      <w:r>
        <w:t xml:space="preserve">(2) Auf dem Zeugnis mit den Inhalten nach Anlage 2 Teil B ist die Gesamtnote als Dezimalzahl mit einer Nachkommastelle und in Worten anzugeben. Jede Befreiung nach § 5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8 HdlFachwPrV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https://recht.nulegal.eu/gesetze/HdlFachwPrV/8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