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HdlFachwPrV — Inkrafttreten, Außerkrafttreten</w:t>
      </w:r>
    </w:p>
    <w:p>
      <w:r>
        <w:rPr>
          <w:color w:val="555555"/>
          <w:sz w:val="18"/>
        </w:rPr>
        <w:t xml:space="preserve">Verordnung über die Prüfung zum anerkannten Fortbildungsabschluss Geprüfter Handelsfachwirt und Geprüfte Handelsfachwirtin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Diese Verordnung tritt am 1. Januar 2015 in Kraft. Gleichzeitig tritt die Verordnung über die Prüfung zum anerkannten Abschluss Geprüfter Handelsfachwirt/Geprüfte Handelsfachwirtin vom 17. Januar 2006 (BGBl. I S. 59), die zuletzt durch Artikel 7 der Verordnung vom 26. März 2014 (BGBl. I S. 274) geändert worden ist, außer Kraft.</w:t>
      </w:r>
    </w:p>
    <w:p>
      <w:r>
        <w:rPr>
          <w:color w:val="555555"/>
          <w:sz w:val="17"/>
        </w:rPr>
        <w:t xml:space="preserve">Zitiervorschlag: § 12 HdlFachwPrV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https://recht.nulegal.eu/gesetze/HdlFachwPrV/12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