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HdlDlStatG — Periodizität und Berichtszeitraum bei strukturstatistischen Erhebungen</w:t>
      </w:r>
    </w:p>
    <w:p>
      <w:r>
        <w:rPr>
          <w:color w:val="555555"/>
          <w:sz w:val="18"/>
        </w:rPr>
        <w:t xml:space="preserve">Handels- und Dienstleistungsstatistikgesetz</w:t>
      </w:r>
    </w:p>
    <w:p>
      <w:r>
        <w:rPr>
          <w:color w:val="555555"/>
          <w:sz w:val="18"/>
        </w:rPr>
        <w:t xml:space="preserve">Stand: 01.01.2026 (konsolidierte Textfassung, kein amtliches Inkrafttretensdatum)</w:t>
      </w:r>
    </w:p>
    <w:p>
      <w:r>
        <w:t xml:space="preserve">(1) Die strukturstatistischen Erhebungen werden jährlich durchgeführt.</w:t>
      </w:r>
    </w:p>
    <w:p>
      <w:r>
        <w:t xml:space="preserve">(2) Berichtszeitraum für die Erhebungen ist das Kalenderjahr oder das im Kalenderjahr abgelaufene Geschäftsjahr.</w:t>
      </w:r>
    </w:p>
    <w:p>
      <w:r>
        <w:t xml:space="preserve">(3) (weggefallen)</w:t>
      </w:r>
    </w:p>
    <w:p>
      <w:r>
        <w:rPr>
          <w:color w:val="555555"/>
          <w:sz w:val="17"/>
        </w:rPr>
        <w:t xml:space="preserve">Zitiervorschlag: § 7 HdlDlStatG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https://recht.nulegal.eu/gesetze/HdlDlStatG/7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