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HdlDlStatG — Hilfsmerkmale</w:t>
      </w:r>
    </w:p>
    <w:p>
      <w:r>
        <w:rPr>
          <w:color w:val="555555"/>
          <w:sz w:val="18"/>
        </w:rPr>
        <w:t xml:space="preserve">Handels- und Dienstleistungsstatistikgesetz</w:t>
      </w:r>
    </w:p>
    <w:p>
      <w:r>
        <w:rPr>
          <w:color w:val="555555"/>
          <w:sz w:val="18"/>
        </w:rPr>
        <w:t xml:space="preserve">Stand: 04.03.2021 (konsolidierte Textfassung, kein amtliches Inkrafttretensdatum)</w:t>
      </w:r>
    </w:p>
    <w:p>
      <w:r>
        <w:t xml:space="preserve">Hilfsmerkmale sind:</w:t>
      </w:r>
    </w:p>
    <w:p>
      <w:pPr>
        <w:ind w:left="420"/>
      </w:pPr>
      <w:r>
        <w:t xml:space="preserve">1. Name und Anschrift der Erhebungseinheit,</w:t>
      </w:r>
    </w:p>
    <w:p>
      <w:pPr>
        <w:ind w:left="420"/>
      </w:pPr>
      <w:r>
        <w:t xml:space="preserve">2. Name und Kontaktdaten der Personen, die für Rückfragen zur Verfügung stehen,</w:t>
      </w:r>
    </w:p>
    <w:p>
      <w:pPr>
        <w:ind w:left="420"/>
      </w:pPr>
      <w:r>
        <w:t xml:space="preserve">3. für die konjunkturstatistischen Erhebungen, mit Ausnahme der Erhebungseinheiten der Wirtschaftszweige der Abteilung 47 in Abschnitt G und des Abschnitts I, zusätzlich Steuernummer der Erhebungseinheit und des Organträgers der Erhebungseinheit, bei Änderungen auch die bisherige Steuernummer.</w:t>
      </w:r>
    </w:p>
    <w:p>
      <w:r>
        <w:rPr>
          <w:color w:val="555555"/>
          <w:sz w:val="17"/>
        </w:rPr>
        <w:t xml:space="preserve">Zitiervorschlag: § 10 HdlDlStatG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https://recht.nulegal.eu/gesetze/HdlDlStatG/10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