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HdlDlStatG — Zweck der Statistik, Anordnung als Bundesstatistik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(1) Die in diesem Gesetz geregelten statistische Erhebungen dienen</w:t>
      </w:r>
    </w:p>
    <w:p>
      <w:pPr>
        <w:ind w:left="420"/>
      </w:pPr>
      <w:r>
        <w:t xml:space="preserve">1. der Darstellung der Struktur und der Entwicklung im Handel und im Dienstleistungsbereich und der Ermittlung ihrer wirtschaftlichen Bedeutung sowie</w:t>
      </w:r>
    </w:p>
    <w:p>
      <w:pPr>
        <w:ind w:left="420"/>
      </w:pPr>
      <w:r>
        <w:t xml:space="preserve">2. der Erfüllung von Berichtspflichten nach dem Recht der Europäischen Union.</w:t>
      </w:r>
    </w:p>
    <w:p>
      <w:r>
        <w:t xml:space="preserve">(2) Die statistischen Erhebungen werden als Bundesstatistik durchgeführt.</w:t>
      </w:r>
    </w:p>
    <w:p>
      <w:r>
        <w:rPr>
          <w:color w:val="555555"/>
          <w:sz w:val="17"/>
        </w:rPr>
        <w:t xml:space="preserve">Zitiervorschlag: § 1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