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HdGStiftG — Stiftungsvermögen</w:t>
      </w:r>
    </w:p>
    <w:p>
      <w:r>
        <w:rPr>
          <w:color w:val="555555"/>
          <w:sz w:val="18"/>
        </w:rPr>
        <w:t xml:space="preserve">Gesetz zur Errichtung einer Stiftung "Haus der Geschichte der Bundesrepublik Deutschland"</w:t>
      </w:r>
    </w:p>
    <w:p>
      <w:r>
        <w:rPr>
          <w:color w:val="555555"/>
          <w:sz w:val="18"/>
        </w:rPr>
        <w:t xml:space="preserve">Stand: 10.06.2019 (konsolidierte Textfassung, kein amtliches Inkrafttretensdatum)</w:t>
      </w:r>
    </w:p>
    <w:p>
      <w:r>
        <w:t xml:space="preserve">(1) Mit dem Inkrafttreten dieses Gesetzes gehen die von der Bundesrepublik Deutschland für die unselbständige Stiftung "Haus der Geschichte der Bundesrepublik Deutschland" erworbenen beweglichen und unbeweglichen Vermögensgegenstände in das Eigentum der Stiftung über.</w:t>
      </w:r>
    </w:p>
    <w:p>
      <w:r>
        <w:t xml:space="preserve">(2) Zur Erfüllung des Stiftungszwecks erhält die Stiftung einen jährlichen Zuschuß des Bundes nach Maßgabe des jeweiligen Bundeshaushalts.</w:t>
      </w:r>
    </w:p>
    <w:p>
      <w:r>
        <w:t xml:space="preserve">(3) Die Stiftung ist berechtigt, Zuwendungen von dritter Seite anzunehmen.</w:t>
      </w:r>
    </w:p>
    <w:p>
      <w:r>
        <w:t xml:space="preserve">(4) Erträgnisse des Stiftungsvermögens und sonstige Einnahmen sind nur im Sinne des Stiftungszwecks zu verwenden.</w:t>
      </w:r>
    </w:p>
    <w:p>
      <w:r>
        <w:rPr>
          <w:color w:val="555555"/>
          <w:sz w:val="17"/>
        </w:rPr>
        <w:t xml:space="preserve">Zitiervorschlag: § 4 HdGStiftG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https://recht.nulegal.eu/gesetze/HdGStiftG/4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