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HdGStiftG — Aufsicht, Haushalt, Rechnungsprüfung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28.09.2021 (konsolidierte Textfassung, kein amtliches Inkrafttretensdatum)</w:t>
      </w:r>
    </w:p>
    <w:p>
      <w:r>
        <w:t xml:space="preserve">(1) Die Stiftung untersteht der Rechtsaufsicht der für Kultur und Medien zuständigen obersten Bundesbehörde.</w:t>
      </w:r>
    </w:p>
    <w:p>
      <w:r>
        <w:t xml:space="preserve">(2) Für das Haushalts-, Kassen- und Rechnungswesen sowie für die Rechnungslegung der Stiftung gelten die für die unmittelbare Bundesverwaltung geltenden Bestimmungen. Die Haushalts- und die Wirtschaftsführung der Stiftung unterliegen der Prüfung durch den Bundesrechnungshof.</w:t>
      </w:r>
    </w:p>
    <w:p>
      <w:r>
        <w:rPr>
          <w:color w:val="555555"/>
          <w:sz w:val="17"/>
        </w:rPr>
        <w:t xml:space="preserve">Zitiervorschlag: § 12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