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HdBALBV — Inkrafttreten</w:t>
      </w:r>
    </w:p>
    <w:p>
      <w:r>
        <w:rPr>
          <w:color w:val="555555"/>
          <w:sz w:val="18"/>
        </w:rPr>
        <w:t xml:space="preserve">HdBA-Leistungsbezüge-Verordnung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HdBALBV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https://recht.nulegal.eu/gesetze/HdBALBV/8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