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HdBALBV — Ruhegehaltfähigkeit befristet gewährter Leistungsbezüge</w:t>
      </w:r>
    </w:p>
    <w:p>
      <w:r>
        <w:rPr>
          <w:color w:val="555555"/>
          <w:sz w:val="18"/>
        </w:rPr>
        <w:t xml:space="preserve">HdBA-Leistungsbezüge-Verordnung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Befristet gewährte Berufungsleistungsbezüge, befristet gewährte Bleibeleistungsbezüge und befristet gewährte besondere Leistungsbezüge sind ruhegehaltfähig, wenn sie</w:t>
      </w:r>
    </w:p>
    <w:p>
      <w:pPr>
        <w:ind w:left="420"/>
      </w:pPr>
      <w:r>
        <w:t xml:space="preserve">1. wiederholt gewährt worden sind und</w:t>
      </w:r>
    </w:p>
    <w:p>
      <w:pPr>
        <w:ind w:left="420"/>
      </w:pPr>
      <w:r>
        <w:t xml:space="preserve">2. insgesamt mindestens zehn Jahre lang bezogen worden sind.</w:t>
      </w:r>
    </w:p>
    <w:p>
      <w:r>
        <w:t xml:space="preserve">(2) Nach Absatz 1 ruhegehaltfähige Leistungsbezüge sind nur insoweit ruhegehaltfähig, als sie die Obergrenze nach § 33 Absatz 3 Satz 1 erster Halbsatz des Bundesbesoldungsgesetzes nicht überschreiten.</w:t>
      </w:r>
    </w:p>
    <w:p>
      <w:r>
        <w:t xml:space="preserve">(3) Treffen nach Absatz 1 ruhegehaltfähige Leistungsbezüge mit unbefristet gewährten Berufungsleistungsbezügen, Bleibeleistungsbezügen oder besonderen Leistungsbezügen zusammen, so sind die Leistungsbezüge nur insoweit ruhegehaltfähig, als sie insgesamt die Obergrenze nach § 33 Absatz 3 Satz 1 erster Halbsatz des Bundesbesoldungsgesetzes nicht überschreiten.</w:t>
      </w:r>
    </w:p>
    <w:p>
      <w:r>
        <w:rPr>
          <w:color w:val="555555"/>
          <w:sz w:val="17"/>
        </w:rPr>
        <w:t xml:space="preserve">Zitiervorschlag: § 6 HdBALBV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https://recht.nulegal.eu/gesetze/HdBALBV/6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