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HdBALBV — Forschungs- und Lehrzulage</w:t>
      </w:r>
    </w:p>
    <w:p>
      <w:r>
        <w:rPr>
          <w:color w:val="555555"/>
          <w:sz w:val="18"/>
        </w:rPr>
        <w:t xml:space="preserve">HdBA-Leistungsbezüge-Verordnung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Einer Professorin oder einem Professor kann eine Forschungs- und Lehrzulage gewährt werden, wenn</w:t>
      </w:r>
    </w:p>
    <w:p>
      <w:pPr>
        <w:ind w:left="420"/>
      </w:pPr>
      <w:r>
        <w:t xml:space="preserve">1. sie oder er Mittel privater Dritter für Forschungs- oder Lehrvorhaben an der Hochschule einwirbt und diese Forschungs- oder Lehrvorhaben selbst durchführt,</w:t>
      </w:r>
    </w:p>
    <w:p>
      <w:pPr>
        <w:ind w:left="420"/>
      </w:pPr>
      <w:r>
        <w:t xml:space="preserve">2. der Geber der privaten Mittel ausdrücklich Mittel für die Gewährung einer Forschungs- und Lehrzulage bestimmt hat und</w:t>
      </w:r>
    </w:p>
    <w:p>
      <w:pPr>
        <w:ind w:left="420"/>
      </w:pPr>
      <w:r>
        <w:t xml:space="preserve">3. neben den sonstigen Kosten des Forschungs- und Lehrvorhabens auch die Forschungs- und Lehrzulage durch die Mittel privater Dritter gedeckt ist.</w:t>
      </w:r>
    </w:p>
    <w:p>
      <w:r>
        <w:t xml:space="preserve">(2) Die Forschungs- und Lehrzulage kann als Einmalzahlung oder als laufende monatliche Zahlung, längstens für die Dauer des Forschungs- oder Lehrvorhabens, gewährt werden.</w:t>
      </w:r>
    </w:p>
    <w:p>
      <w:r>
        <w:t xml:space="preserve">(3) Die Forschungs- und Lehrzulage darf in einem Kalenderjahr das Grundgehalt der Professorin oder des Professors für dieses Kalenderjahr nicht überschreiten.</w:t>
      </w:r>
    </w:p>
    <w:p>
      <w:r>
        <w:rPr>
          <w:color w:val="555555"/>
          <w:sz w:val="17"/>
        </w:rPr>
        <w:t xml:space="preserve">Zitiervorschlag: § 5 HdBALBV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https://recht.nulegal.eu/gesetze/HdBALBV/5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