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HdBALBV — Funktionsleistungsbezüge</w:t>
      </w:r>
    </w:p>
    <w:p>
      <w:r>
        <w:rPr>
          <w:color w:val="555555"/>
          <w:sz w:val="18"/>
        </w:rPr>
        <w:t xml:space="preserve">HdBA-Leistungsbezüge-Verordnung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Funktionsleistungsbezüge können für die Zeit gewährt werden, in der die Professorin oder der Professor Funktionen oder besondere Aufgaben der Hochschulselbstverwaltung oder der Hochschulleitung wahrnimmt.</w:t>
      </w:r>
    </w:p>
    <w:p>
      <w:r>
        <w:t xml:space="preserve">(2) Bei der Bemessung der Funktionsleistungsbezüge ist die Verantwortung oder Belastung, die mit der Funktion oder Aufgabe verbunden ist, zu berücksichtigen. Der Grundsatz der funktionsgerechten Besoldung ist zu beachten.</w:t>
      </w:r>
    </w:p>
    <w:p>
      <w:r>
        <w:rPr>
          <w:color w:val="555555"/>
          <w:sz w:val="17"/>
        </w:rPr>
        <w:t xml:space="preserve">Zitiervorschlag: § 4 HdBALBV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https://recht.nulegal.eu/gesetze/HdBALBV/4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