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HdBALBV — Anwendungsbereich</w:t>
      </w:r>
    </w:p>
    <w:p>
      <w:r>
        <w:rPr>
          <w:color w:val="555555"/>
          <w:sz w:val="18"/>
        </w:rPr>
        <w:t xml:space="preserve">HdBA-Leistungsbezüge-Verordnung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Professorinnen und Professoren der Hochschule der Bundesagentur für Arbeit (Hochschule), die ein Amt der Besoldungsgruppen W 2 oder W 3 innehaben.</w:t>
      </w:r>
    </w:p>
    <w:p>
      <w:r>
        <w:t xml:space="preserve">(2) Die Verordnung regelt</w:t>
      </w:r>
    </w:p>
    <w:p>
      <w:pPr>
        <w:ind w:left="420"/>
      </w:pPr>
      <w:r>
        <w:t xml:space="preserve">1. die Gewährung von Leistungsbezügen einschließlich</w:t>
      </w:r>
    </w:p>
    <w:p>
      <w:pPr>
        <w:ind w:left="780"/>
      </w:pPr>
      <w:r>
        <w:t xml:space="preserve">a) der Teilnahme von Leistungsbezügen an den regelmäßigen Anpassungen der Besoldung nach § 14 Absatz 1 des Bundesbesoldungsgesetzes und</w:t>
      </w:r>
    </w:p>
    <w:p>
      <w:pPr>
        <w:ind w:left="780"/>
      </w:pPr>
      <w:r>
        <w:t xml:space="preserve">b) der Ruhegehaltfähigkeit von Leistungsbezügen sowie</w:t>
      </w:r>
    </w:p>
    <w:p>
      <w:pPr>
        <w:ind w:left="420"/>
      </w:pPr>
      <w:r>
        <w:t xml:space="preserve">2. die Gewährung von Forschungs- und Lehrzulagen.</w:t>
      </w:r>
    </w:p>
    <w:p>
      <w:r>
        <w:rPr>
          <w:color w:val="555555"/>
          <w:sz w:val="17"/>
        </w:rPr>
        <w:t xml:space="preserve">Zitiervorschlag: § 1 HdBALBV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https://recht.nulegal.eu/gesetze/HdBALBV/1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